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县政协</w:t>
      </w:r>
      <w:r>
        <w:rPr>
          <w:rFonts w:hint="eastAsia" w:asciiTheme="minorEastAsia" w:hAnsiTheme="minorEastAsia" w:eastAsiaTheme="minorEastAsia" w:cstheme="minorEastAsia"/>
          <w:b/>
          <w:color w:val="333333"/>
          <w:sz w:val="28"/>
          <w:szCs w:val="28"/>
          <w:lang w:val="en-US" w:eastAsia="zh-CN"/>
        </w:rPr>
        <w:t>决算文字说明</w:t>
      </w: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3"/>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260" w:right="0"/>
        <w:jc w:val="left"/>
        <w:textAlignment w:val="auto"/>
        <w:outlineLvl w:val="9"/>
        <w:rPr>
          <w:rFonts w:hint="eastAsia" w:ascii="黑体" w:hAnsi="黑体" w:eastAsia="黑体" w:cs="黑体"/>
          <w:b/>
          <w:bCs/>
          <w:sz w:val="32"/>
          <w:szCs w:val="32"/>
        </w:rPr>
      </w:pPr>
      <w:r>
        <w:rPr>
          <w:rFonts w:hint="eastAsia" w:asciiTheme="minorEastAsia" w:hAnsiTheme="minorEastAsia" w:eastAsiaTheme="minorEastAsia" w:cstheme="minorEastAsia"/>
          <w:color w:val="333333"/>
          <w:sz w:val="28"/>
          <w:szCs w:val="28"/>
          <w:shd w:val="clear" w:fill="FFFFFF"/>
        </w:rPr>
        <w:t> </w:t>
      </w:r>
      <w:r>
        <w:rPr>
          <w:rFonts w:hint="eastAsia" w:ascii="黑体" w:hAnsi="黑体" w:eastAsia="黑体" w:cs="黑体"/>
          <w:b/>
          <w:bCs/>
          <w:color w:val="333333"/>
          <w:sz w:val="32"/>
          <w:szCs w:val="32"/>
        </w:rPr>
        <w:t>一、主要职能</w:t>
      </w:r>
    </w:p>
    <w:p>
      <w:pPr>
        <w:ind w:firstLine="560" w:firstLineChars="20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县工商联是以统战性为主，具有经济性、民间性的人民团体，是党联系非公有制经济代表人士的桥梁和政府管理非公有制经济的助手，其主要工作职能是：</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（一）参与政府事务和经济，社会重大决策的政治协商，发挥民主监督的作用，做好代表性人士政治安排的推荐工作， 对政府有关政策的制定提出建议并协助贯彻执行。</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二）发扬自我教育的优良传统，宣传国家的方针政策，加强和改进思想政治工作，强化“团结、帮助、引导、教育”方针的教育，提高会员爱国敬业守法意识，提高会员素质、培养建立、充实骨干分子队伍，并积极倡导参与一切社会公益活动。</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（三）维护会员的合法权益，反映会员的意见，要求和建议；在会员与政府之间发挥桥梁作用，当好政府管理非公有制经济的助手。</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（四）为会员和社会提供市场、技术、商品等信息，按照国家有关规定，为会员提供管理、法律、会议、审计、融资、咨询等服务。</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（五）开展工商业者专业培训，帮助会员改善经营管理，提高生产技术和商品质量、加强财务管理、增强纳税意识。</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（六）按照国家规定和有关政策，组织会员举办和参加各种对内对外展销会、交易会，组织会员出国考察访问，帮助会员开拓国内、国际市场。</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（七）为会员提供必要的证明，协调关系，为会员和民间企业调解经济纠纷。</w:t>
      </w:r>
    </w:p>
    <w:p>
      <w:pPr>
        <w:ind w:firstLine="420" w:firstLineChars="15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（八）增进与境外工商经济界人士的联系和友谊，促进经济、技术和贸易合作的发展，协助引进资金、技术、人才。</w:t>
      </w:r>
    </w:p>
    <w:p>
      <w:pPr>
        <w:pStyle w:val="19"/>
        <w:numPr>
          <w:ilvl w:val="0"/>
          <w:numId w:val="1"/>
        </w:numPr>
        <w:ind w:firstLineChars="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承办政府和有关部门委托事项。</w:t>
      </w:r>
    </w:p>
    <w:p>
      <w:pPr>
        <w:pStyle w:val="2"/>
        <w:spacing w:line="360" w:lineRule="auto"/>
        <w:ind w:left="0"/>
        <w:rPr>
          <w:rFonts w:hint="eastAsia"/>
          <w:sz w:val="32"/>
          <w:szCs w:val="32"/>
        </w:rPr>
      </w:pPr>
    </w:p>
    <w:p>
      <w:pPr>
        <w:pStyle w:val="3"/>
        <w:keepNext w:val="0"/>
        <w:keepLines w:val="0"/>
        <w:widowControl/>
        <w:suppressLineNumbers w:val="0"/>
        <w:spacing w:before="180" w:beforeAutospacing="0" w:after="360" w:afterAutospacing="0" w:line="450" w:lineRule="atLeast"/>
        <w:ind w:right="0" w:firstLine="643" w:firstLineChars="200"/>
        <w:jc w:val="left"/>
        <w:rPr>
          <w:rFonts w:hint="eastAsia" w:asciiTheme="minorEastAsia" w:hAnsiTheme="minorEastAsia" w:eastAsiaTheme="minorEastAsia" w:cstheme="minorEastAsia"/>
          <w:b/>
          <w:bCs/>
          <w:sz w:val="28"/>
          <w:szCs w:val="28"/>
        </w:rPr>
      </w:pPr>
      <w:r>
        <w:rPr>
          <w:rFonts w:hint="eastAsia" w:ascii="黑体" w:hAnsi="黑体" w:eastAsia="黑体" w:cs="黑体"/>
          <w:b/>
          <w:bCs/>
          <w:color w:val="333333"/>
          <w:sz w:val="32"/>
          <w:szCs w:val="32"/>
        </w:rPr>
        <w:t>二、机构设置及部门决算单位构成</w:t>
      </w:r>
    </w:p>
    <w:p>
      <w:pPr>
        <w:pStyle w:val="2"/>
        <w:spacing w:line="360" w:lineRule="auto"/>
        <w:ind w:left="0" w:firstLine="560" w:firstLineChars="200"/>
        <w:rPr>
          <w:rFonts w:hint="eastAsia" w:ascii="宋体" w:hAnsi="宋体" w:eastAsia="宋体" w:cs="宋体"/>
          <w:sz w:val="28"/>
          <w:szCs w:val="28"/>
        </w:rPr>
      </w:pPr>
      <w:r>
        <w:rPr>
          <w:rFonts w:hint="eastAsia" w:ascii="宋体" w:hAnsi="宋体" w:eastAsia="宋体" w:cs="宋体"/>
          <w:color w:val="333333"/>
          <w:sz w:val="28"/>
          <w:szCs w:val="28"/>
        </w:rPr>
        <w:t>为全额行政单位，一级预算单位。</w:t>
      </w:r>
    </w:p>
    <w:p>
      <w:pPr>
        <w:rPr>
          <w:rFonts w:hint="eastAsia" w:ascii="仿宋_GB2312" w:eastAsia="仿宋_GB2312"/>
          <w:sz w:val="32"/>
          <w:szCs w:val="32"/>
        </w:rPr>
      </w:pPr>
    </w:p>
    <w:p>
      <w:pPr>
        <w:pStyle w:val="3"/>
        <w:keepNext w:val="0"/>
        <w:keepLines w:val="0"/>
        <w:widowControl/>
        <w:suppressLineNumbers w:val="0"/>
        <w:spacing w:before="180" w:beforeAutospacing="0" w:after="360" w:afterAutospacing="0" w:line="450" w:lineRule="atLeast"/>
        <w:ind w:right="0" w:firstLine="643" w:firstLineChars="200"/>
        <w:jc w:val="left"/>
        <w:rPr>
          <w:rFonts w:hint="eastAsia" w:ascii="黑体" w:hAnsi="黑体" w:eastAsia="黑体" w:cs="黑体"/>
          <w:b/>
          <w:bCs/>
          <w:color w:val="333333"/>
          <w:sz w:val="32"/>
          <w:szCs w:val="32"/>
        </w:rPr>
      </w:pPr>
      <w:r>
        <w:rPr>
          <w:rFonts w:hint="eastAsia" w:ascii="黑体" w:hAnsi="黑体" w:eastAsia="黑体" w:cs="黑体"/>
          <w:b/>
          <w:bCs/>
          <w:color w:val="333333"/>
          <w:sz w:val="32"/>
          <w:szCs w:val="32"/>
        </w:rPr>
        <w:t>三、人员构成</w:t>
      </w:r>
    </w:p>
    <w:p>
      <w:pPr>
        <w:pStyle w:val="2"/>
        <w:spacing w:line="360" w:lineRule="auto"/>
        <w:ind w:left="0" w:firstLine="560" w:firstLineChars="200"/>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pPr>
      <w:r>
        <w:rPr>
          <w:rFonts w:hint="eastAsia" w:asciiTheme="minorEastAsia" w:hAnsiTheme="minorEastAsia" w:eastAsiaTheme="minorEastAsia" w:cstheme="minorEastAsia"/>
          <w:i w:val="0"/>
          <w:caps w:val="0"/>
          <w:color w:val="373737"/>
          <w:spacing w:val="0"/>
          <w:kern w:val="0"/>
          <w:sz w:val="28"/>
          <w:szCs w:val="28"/>
          <w:shd w:val="clear" w:fill="FFFFFF"/>
          <w:vertAlign w:val="baseline"/>
          <w:lang w:val="en-US" w:eastAsia="zh-CN" w:bidi="ar"/>
        </w:rPr>
        <w:t>绥滨县工商业联合会总编制人数2人，在职实有人数2人，其中：行政编制2人。</w:t>
      </w:r>
    </w:p>
    <w:p>
      <w:pPr>
        <w:pStyle w:val="3"/>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18.06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17.61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18.06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99.78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17.61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97.95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18.02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9.51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14.64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83.37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0.89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5.07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17.56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17.56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等于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2018年4月起成为财政一级核算单位。</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1.67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val="en-US"/>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eastAsia="zh-CN"/>
        </w:rPr>
        <w:t>一般公共服务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lang w:val="en-US" w:eastAsia="zh-CN"/>
        </w:rPr>
        <w:t xml:space="preserve"> </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cstheme="minorEastAsia"/>
          <w:i w:val="0"/>
          <w:caps w:val="0"/>
          <w:color w:val="373737"/>
          <w:spacing w:val="0"/>
          <w:sz w:val="28"/>
          <w:szCs w:val="28"/>
          <w:shd w:val="clear" w:fill="FFFFFF"/>
          <w:vertAlign w:val="baseline"/>
          <w:lang w:val="en-US" w:eastAsia="zh-CN"/>
        </w:rPr>
        <w:t>4.64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0.36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 0.36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0.89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0.89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703" w:firstLineChars="25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w:t>
      </w:r>
      <w:r>
        <w:rPr>
          <w:rFonts w:hint="eastAsia" w:asciiTheme="minorEastAsia" w:hAnsiTheme="minorEastAsia" w:cstheme="minorEastAsia"/>
          <w:i w:val="0"/>
          <w:caps w:val="0"/>
          <w:color w:val="373737"/>
          <w:spacing w:val="0"/>
          <w:sz w:val="28"/>
          <w:szCs w:val="28"/>
          <w:shd w:val="clear" w:fill="FFFFFF"/>
          <w:vertAlign w:val="baseline"/>
          <w:lang w:val="en-US" w:eastAsia="zh-CN"/>
        </w:rPr>
        <w:t>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17.56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 xml:space="preserve">15.99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w:t>
      </w:r>
      <w:r>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t>生活补贴</w:t>
      </w:r>
      <w:r>
        <w:rPr>
          <w:rFonts w:hint="eastAsia" w:asciiTheme="minorEastAsia" w:hAnsiTheme="minorEastAsia" w:eastAsiaTheme="minorEastAsia" w:cstheme="minorEastAsia"/>
          <w:i w:val="0"/>
          <w:caps w:val="0"/>
          <w:color w:val="373737"/>
          <w:spacing w:val="0"/>
          <w:sz w:val="28"/>
          <w:szCs w:val="28"/>
          <w:shd w:val="clear" w:fill="FFFFFF"/>
          <w:vertAlign w:val="baseline"/>
        </w:rPr>
        <w:t>、奖励金、住房公积金；公用经费</w:t>
      </w:r>
      <w:r>
        <w:rPr>
          <w:rFonts w:hint="eastAsia" w:asciiTheme="minorEastAsia" w:hAnsiTheme="minorEastAsia" w:eastAsiaTheme="minorEastAsia" w:cstheme="minorEastAsia"/>
          <w:i w:val="0"/>
          <w:caps w:val="0"/>
          <w:color w:val="373737"/>
          <w:spacing w:val="0"/>
          <w:sz w:val="28"/>
          <w:szCs w:val="28"/>
          <w:shd w:val="clear" w:fill="FFFFFF"/>
          <w:vertAlign w:val="baseline"/>
          <w:lang w:val="en-US" w:eastAsia="zh-CN"/>
        </w:rPr>
        <w:t>1.57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万元，主要包括：办公费、印刷费、差旅费、福利费。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6"/>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3"/>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1.57</w:t>
      </w:r>
      <w:r>
        <w:rPr>
          <w:rFonts w:hint="eastAsia" w:asciiTheme="minorEastAsia" w:hAnsiTheme="minorEastAsia" w:eastAsiaTheme="minorEastAsia" w:cstheme="minorEastAsia"/>
          <w:color w:val="333333"/>
          <w:sz w:val="28"/>
          <w:szCs w:val="28"/>
        </w:rPr>
        <w:t>万元，比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本单位从</w:t>
      </w:r>
      <w:r>
        <w:rPr>
          <w:rFonts w:hint="eastAsia" w:asciiTheme="minorEastAsia" w:hAnsiTheme="minorEastAsia" w:cstheme="minorEastAsia"/>
          <w:color w:val="333333"/>
          <w:sz w:val="28"/>
          <w:szCs w:val="28"/>
          <w:lang w:val="en-US" w:eastAsia="zh-CN"/>
        </w:rPr>
        <w:t>2018年4月起单独核算</w:t>
      </w:r>
      <w:r>
        <w:rPr>
          <w:rFonts w:hint="eastAsia" w:asciiTheme="minorEastAsia" w:hAnsiTheme="minorEastAsia" w:eastAsiaTheme="minorEastAsia" w:cstheme="minorEastAsia"/>
          <w:color w:val="333333"/>
          <w:sz w:val="28"/>
          <w:szCs w:val="28"/>
        </w:rPr>
        <w:t>）。</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3"/>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3"/>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0.36</w:t>
      </w:r>
      <w:r>
        <w:rPr>
          <w:rFonts w:hint="eastAsia" w:asciiTheme="minorEastAsia" w:hAnsiTheme="minorEastAsia" w:eastAsiaTheme="minorEastAsia" w:cstheme="minorEastAsia"/>
          <w:color w:val="333333"/>
          <w:sz w:val="28"/>
          <w:szCs w:val="28"/>
        </w:rPr>
        <w:t xml:space="preserve">万元，自评覆盖率达到100%。共组织对“农林水（类）农业（款）行政运行（项）”等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0.36</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val="en-US" w:eastAsia="zh-CN"/>
        </w:rPr>
        <w:t>日常支出</w:t>
      </w:r>
      <w:r>
        <w:rPr>
          <w:rFonts w:hint="eastAsia" w:asciiTheme="minorEastAsia" w:hAnsiTheme="minorEastAsia" w:eastAsiaTheme="minorEastAsia" w:cstheme="minorEastAsia"/>
          <w:color w:val="333333"/>
          <w:sz w:val="28"/>
          <w:szCs w:val="28"/>
        </w:rPr>
        <w:t>进行了绩效考核。</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3"/>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4B0"/>
    <w:multiLevelType w:val="multilevel"/>
    <w:tmpl w:val="03F914B0"/>
    <w:lvl w:ilvl="0" w:tentative="0">
      <w:start w:val="9"/>
      <w:numFmt w:val="japaneseCounting"/>
      <w:lvlText w:val="（%1）"/>
      <w:lvlJc w:val="left"/>
      <w:pPr>
        <w:ind w:left="1560" w:hanging="10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F23411"/>
    <w:rsid w:val="0123668F"/>
    <w:rsid w:val="01340F75"/>
    <w:rsid w:val="018F1B8B"/>
    <w:rsid w:val="03FE7F0E"/>
    <w:rsid w:val="05861984"/>
    <w:rsid w:val="098217C0"/>
    <w:rsid w:val="0DFF0278"/>
    <w:rsid w:val="0E980DC7"/>
    <w:rsid w:val="11ED1FAA"/>
    <w:rsid w:val="179B676B"/>
    <w:rsid w:val="1CFB22BC"/>
    <w:rsid w:val="1DF21C30"/>
    <w:rsid w:val="1DF45FF5"/>
    <w:rsid w:val="2A054FEB"/>
    <w:rsid w:val="2DE7389C"/>
    <w:rsid w:val="2F06222C"/>
    <w:rsid w:val="2F2A3977"/>
    <w:rsid w:val="31305FF2"/>
    <w:rsid w:val="3A556220"/>
    <w:rsid w:val="3DDC6AB6"/>
    <w:rsid w:val="3E4D6987"/>
    <w:rsid w:val="40613EBF"/>
    <w:rsid w:val="419008B3"/>
    <w:rsid w:val="44BC7D6B"/>
    <w:rsid w:val="4A672EA3"/>
    <w:rsid w:val="509A555D"/>
    <w:rsid w:val="57ED288C"/>
    <w:rsid w:val="5C423D2E"/>
    <w:rsid w:val="5CA463B3"/>
    <w:rsid w:val="61F65095"/>
    <w:rsid w:val="62763A6A"/>
    <w:rsid w:val="6B6E45D7"/>
    <w:rsid w:val="6BC52739"/>
    <w:rsid w:val="6FF50AA2"/>
    <w:rsid w:val="715B2F08"/>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ind w:left="260"/>
    </w:pPr>
    <w:rPr>
      <w:rFonts w:ascii="宋体" w:hAnsi="宋体" w:eastAsia="宋体" w:cs="宋体"/>
      <w:sz w:val="32"/>
      <w:szCs w:val="32"/>
      <w:lang w:val="zh-CN" w:eastAsia="zh-CN" w:bidi="zh-CN"/>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0">
    <w:name w:val="laiy"/>
    <w:basedOn w:val="5"/>
    <w:qFormat/>
    <w:uiPriority w:val="0"/>
  </w:style>
  <w:style w:type="character" w:customStyle="1" w:styleId="11">
    <w:name w:val="zuoz"/>
    <w:basedOn w:val="5"/>
    <w:qFormat/>
    <w:uiPriority w:val="0"/>
  </w:style>
  <w:style w:type="character" w:customStyle="1" w:styleId="12">
    <w:name w:val="update"/>
    <w:basedOn w:val="5"/>
    <w:qFormat/>
    <w:uiPriority w:val="0"/>
  </w:style>
  <w:style w:type="character" w:customStyle="1" w:styleId="13">
    <w:name w:val="hot1"/>
    <w:basedOn w:val="5"/>
    <w:qFormat/>
    <w:uiPriority w:val="0"/>
  </w:style>
  <w:style w:type="character" w:customStyle="1" w:styleId="14">
    <w:name w:val="td12"/>
    <w:basedOn w:val="5"/>
    <w:qFormat/>
    <w:uiPriority w:val="0"/>
    <w:rPr>
      <w:rFonts w:ascii="Arial" w:hAnsi="Arial" w:cs="Arial"/>
      <w:color w:val="FFFFFF"/>
      <w:sz w:val="16"/>
      <w:szCs w:val="16"/>
    </w:rPr>
  </w:style>
  <w:style w:type="character" w:customStyle="1" w:styleId="15">
    <w:name w:val="td22"/>
    <w:basedOn w:val="5"/>
    <w:qFormat/>
    <w:uiPriority w:val="0"/>
  </w:style>
  <w:style w:type="character" w:customStyle="1" w:styleId="16">
    <w:name w:val="td32"/>
    <w:basedOn w:val="5"/>
    <w:qFormat/>
    <w:uiPriority w:val="0"/>
  </w:style>
  <w:style w:type="character" w:customStyle="1" w:styleId="17">
    <w:name w:val="home"/>
    <w:basedOn w:val="5"/>
    <w:qFormat/>
    <w:uiPriority w:val="0"/>
  </w:style>
  <w:style w:type="paragraph" w:customStyle="1" w:styleId="18">
    <w:name w:val="无间隔1"/>
    <w:qFormat/>
    <w:uiPriority w:val="0"/>
    <w:pPr>
      <w:ind w:firstLine="200" w:firstLineChars="200"/>
      <w:jc w:val="center"/>
    </w:pPr>
    <w:rPr>
      <w:rFonts w:ascii="Times New Roman" w:hAnsi="Times New Roman" w:eastAsia="仿宋_GB2312" w:cs="Times New Roman"/>
      <w:sz w:val="30"/>
      <w:szCs w:val="22"/>
      <w:lang w:val="en-US" w:eastAsia="zh-CN" w:bidi="ar-SA"/>
    </w:rPr>
  </w:style>
  <w:style w:type="paragraph" w:customStyle="1" w:styleId="19">
    <w:name w:val="List Paragraph"/>
    <w:basedOn w:val="1"/>
    <w:qFormat/>
    <w:uiPriority w:val="1"/>
    <w:pPr>
      <w:ind w:left="260" w:hanging="322"/>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2019-09-19T05:01:49Z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